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69" w:rsidRPr="00A86DC1" w:rsidRDefault="00771F69" w:rsidP="00771F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Расчет</w:t>
      </w:r>
    </w:p>
    <w:p w:rsidR="00771F69" w:rsidRDefault="00771F69" w:rsidP="00771F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771F69" w:rsidRPr="00A86DC1" w:rsidRDefault="00771F69" w:rsidP="00771F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71F69" w:rsidRPr="00A86DC1" w:rsidRDefault="00771F69" w:rsidP="00771F6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71F69" w:rsidRPr="00A86DC1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Pr="00A86DC1" w:rsidRDefault="00771F69" w:rsidP="00771F69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7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771F69" w:rsidRDefault="00771F69" w:rsidP="00771F69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771F69" w:rsidRPr="00A86DC1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Pr="00A86DC1" w:rsidRDefault="00771F69" w:rsidP="00771F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771F69" w:rsidRPr="00A86DC1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771F69" w:rsidRPr="00A86DC1" w:rsidTr="00327F73">
        <w:tc>
          <w:tcPr>
            <w:tcW w:w="3039" w:type="dxa"/>
            <w:vAlign w:val="center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771F69" w:rsidRPr="00A86DC1" w:rsidTr="00327F73">
        <w:tc>
          <w:tcPr>
            <w:tcW w:w="3039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771F69" w:rsidRPr="00A86DC1" w:rsidTr="00327F73">
        <w:tc>
          <w:tcPr>
            <w:tcW w:w="3039" w:type="dxa"/>
          </w:tcPr>
          <w:p w:rsidR="00771F69" w:rsidRPr="00193D00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193D00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771F69" w:rsidRPr="00A86DC1" w:rsidRDefault="00771F69" w:rsidP="00771F69">
      <w:pPr>
        <w:pStyle w:val="ConsPlusNormal"/>
        <w:jc w:val="center"/>
        <w:rPr>
          <w:rFonts w:ascii="Times New Roman" w:hAnsi="Times New Roman" w:cs="Times New Roman"/>
        </w:rPr>
      </w:pPr>
    </w:p>
    <w:p w:rsidR="00771F69" w:rsidRPr="00A86DC1" w:rsidRDefault="00771F69" w:rsidP="00771F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771F69" w:rsidRPr="00A86DC1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771F69" w:rsidRPr="00A86DC1" w:rsidTr="00327F73">
        <w:tc>
          <w:tcPr>
            <w:tcW w:w="3039" w:type="dxa"/>
            <w:vAlign w:val="center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771F69" w:rsidRPr="00A86DC1" w:rsidTr="00327F73">
        <w:trPr>
          <w:trHeight w:val="197"/>
        </w:trPr>
        <w:tc>
          <w:tcPr>
            <w:tcW w:w="3039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771F69" w:rsidRPr="00A86DC1" w:rsidTr="00327F73">
        <w:tc>
          <w:tcPr>
            <w:tcW w:w="3039" w:type="dxa"/>
          </w:tcPr>
          <w:p w:rsidR="00771F69" w:rsidRPr="00193D00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771F69" w:rsidRPr="00193D00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Pr="005F3455" w:rsidRDefault="00771F69" w:rsidP="00771F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0" w:name="P1288"/>
      <w:bookmarkEnd w:id="0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771F69" w:rsidRPr="00A86DC1" w:rsidRDefault="00771F69" w:rsidP="00771F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771F69" w:rsidRPr="00A86DC1" w:rsidTr="00327F73">
        <w:tc>
          <w:tcPr>
            <w:tcW w:w="5071" w:type="dxa"/>
            <w:vAlign w:val="center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771F69" w:rsidRPr="00A86DC1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771F69" w:rsidRPr="00A86DC1" w:rsidTr="00327F73">
        <w:tc>
          <w:tcPr>
            <w:tcW w:w="9554" w:type="dxa"/>
            <w:gridSpan w:val="4"/>
          </w:tcPr>
          <w:p w:rsidR="00771F69" w:rsidRPr="00416C17" w:rsidRDefault="00771F69" w:rsidP="00327F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1" w:name="P1299"/>
            <w:bookmarkEnd w:id="1"/>
            <w:r w:rsidRPr="00416C17">
              <w:rPr>
                <w:rFonts w:ascii="Times New Roman" w:hAnsi="Times New Roman" w:cs="Times New Roman"/>
                <w:b/>
              </w:rPr>
              <w:t>Подраздел «Активы, принятые к расчету собственных средств»</w:t>
            </w:r>
          </w:p>
        </w:tc>
      </w:tr>
      <w:tr w:rsidR="00771F69" w:rsidRPr="00A86DC1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301"/>
            <w:bookmarkEnd w:id="2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60 460 392,28</w:t>
            </w:r>
          </w:p>
        </w:tc>
        <w:tc>
          <w:tcPr>
            <w:tcW w:w="1695" w:type="dxa"/>
          </w:tcPr>
          <w:p w:rsidR="00771F69" w:rsidRPr="003E3895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442 052 171,46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5 262 934,75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E71BE3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26 480 685,15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55 197 457,53</w:t>
            </w:r>
          </w:p>
        </w:tc>
        <w:tc>
          <w:tcPr>
            <w:tcW w:w="1695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415 571 486,31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14"/>
            <w:bookmarkEnd w:id="3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Default="00771F69" w:rsidP="00327F7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F82465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F82465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F82465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F82465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F82465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F82465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64"/>
            <w:bookmarkEnd w:id="4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F82465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68"/>
            <w:bookmarkEnd w:id="5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BE7B8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22 726,03</w:t>
            </w:r>
          </w:p>
        </w:tc>
      </w:tr>
      <w:tr w:rsidR="00771F69" w:rsidRPr="003E3895" w:rsidTr="00327F73">
        <w:tc>
          <w:tcPr>
            <w:tcW w:w="5071" w:type="dxa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72"/>
            <w:bookmarkEnd w:id="6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406CB" w:rsidRDefault="00771F69" w:rsidP="00327F7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6CB">
              <w:rPr>
                <w:rFonts w:ascii="Times New Roman" w:hAnsi="Times New Roman" w:cs="Times New Roman"/>
                <w:b/>
              </w:rPr>
              <w:t>60 460 392,28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71F69" w:rsidRPr="005A7DD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442 074 897,49</w:t>
            </w:r>
          </w:p>
        </w:tc>
      </w:tr>
      <w:tr w:rsidR="00771F69" w:rsidRPr="00A86DC1" w:rsidTr="00327F73">
        <w:tc>
          <w:tcPr>
            <w:tcW w:w="9554" w:type="dxa"/>
            <w:gridSpan w:val="4"/>
          </w:tcPr>
          <w:p w:rsidR="00771F69" w:rsidRPr="00416C17" w:rsidRDefault="00771F69" w:rsidP="00327F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71F69" w:rsidRPr="00A86DC1" w:rsidTr="00327F73">
        <w:tc>
          <w:tcPr>
            <w:tcW w:w="5071" w:type="dxa"/>
          </w:tcPr>
          <w:p w:rsidR="00771F69" w:rsidRPr="001B4B8D" w:rsidRDefault="00771F69" w:rsidP="00327F7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77"/>
            <w:bookmarkEnd w:id="7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71F69" w:rsidRPr="00E16E0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3 550 072,72</w:t>
            </w:r>
          </w:p>
        </w:tc>
        <w:tc>
          <w:tcPr>
            <w:tcW w:w="1695" w:type="dxa"/>
          </w:tcPr>
          <w:p w:rsidR="00771F69" w:rsidRPr="00A86DC1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4 743 858,34</w:t>
            </w:r>
          </w:p>
        </w:tc>
      </w:tr>
      <w:tr w:rsidR="00771F69" w:rsidRPr="00A86DC1" w:rsidTr="00327F73">
        <w:tc>
          <w:tcPr>
            <w:tcW w:w="9554" w:type="dxa"/>
            <w:gridSpan w:val="4"/>
          </w:tcPr>
          <w:p w:rsidR="00771F69" w:rsidRPr="00416C17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771F69" w:rsidRPr="00A86DC1" w:rsidTr="00327F73">
        <w:tc>
          <w:tcPr>
            <w:tcW w:w="5071" w:type="dxa"/>
          </w:tcPr>
          <w:p w:rsidR="00771F69" w:rsidRPr="00AD4D1D" w:rsidRDefault="00771F69" w:rsidP="00327F7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 xml:space="preserve">Размер собственных средств </w:t>
            </w:r>
          </w:p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71F69" w:rsidRPr="00AD4D1D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56 910 319,56</w:t>
            </w:r>
          </w:p>
        </w:tc>
        <w:tc>
          <w:tcPr>
            <w:tcW w:w="1695" w:type="dxa"/>
          </w:tcPr>
          <w:p w:rsidR="00771F6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71F69" w:rsidRPr="002562B9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437 331 039,15</w:t>
            </w:r>
          </w:p>
        </w:tc>
      </w:tr>
      <w:tr w:rsidR="00771F69" w:rsidRPr="00A86DC1" w:rsidTr="00327F73">
        <w:tc>
          <w:tcPr>
            <w:tcW w:w="9554" w:type="dxa"/>
            <w:gridSpan w:val="4"/>
          </w:tcPr>
          <w:p w:rsidR="00771F69" w:rsidRPr="00AD4D1D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771F69" w:rsidRPr="00A86DC1" w:rsidTr="00327F73">
        <w:tc>
          <w:tcPr>
            <w:tcW w:w="5071" w:type="dxa"/>
          </w:tcPr>
          <w:p w:rsidR="00771F69" w:rsidRPr="00AD4D1D" w:rsidRDefault="00771F69" w:rsidP="00327F7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771F69" w:rsidRPr="00A86DC1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771F69" w:rsidRPr="00AD4D1D" w:rsidRDefault="00771F69" w:rsidP="009357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35727">
              <w:rPr>
                <w:rFonts w:ascii="Times New Roman" w:hAnsi="Times New Roman" w:cs="Times New Roman"/>
                <w:b/>
              </w:rPr>
              <w:t>1</w:t>
            </w:r>
            <w:r w:rsidRPr="00AD4D1D">
              <w:rPr>
                <w:rFonts w:ascii="Times New Roman" w:hAnsi="Times New Roman" w:cs="Times New Roman"/>
                <w:b/>
              </w:rPr>
              <w:t>5 000 000,00</w:t>
            </w:r>
          </w:p>
        </w:tc>
        <w:tc>
          <w:tcPr>
            <w:tcW w:w="1695" w:type="dxa"/>
          </w:tcPr>
          <w:p w:rsidR="00771F69" w:rsidRPr="00A86DC1" w:rsidRDefault="00771F69" w:rsidP="00935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5727">
              <w:rPr>
                <w:rFonts w:ascii="Times New Roman" w:hAnsi="Times New Roman" w:cs="Times New Roman"/>
                <w:b/>
              </w:rPr>
              <w:t>1</w:t>
            </w:r>
            <w:r w:rsidRPr="00AD4D1D">
              <w:rPr>
                <w:rFonts w:ascii="Times New Roman" w:hAnsi="Times New Roman" w:cs="Times New Roman"/>
                <w:b/>
              </w:rPr>
              <w:t>5 000 000,00</w:t>
            </w:r>
          </w:p>
        </w:tc>
      </w:tr>
      <w:tr w:rsidR="00771F69" w:rsidRPr="00A86DC1" w:rsidTr="00327F73">
        <w:tc>
          <w:tcPr>
            <w:tcW w:w="5071" w:type="dxa"/>
          </w:tcPr>
          <w:p w:rsidR="00771F69" w:rsidRPr="00AD4D1D" w:rsidRDefault="00771F69" w:rsidP="00327F7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771F69" w:rsidRDefault="00771F69" w:rsidP="00327F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1F69" w:rsidRPr="00313608" w:rsidRDefault="00771F69" w:rsidP="00327F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  <w:bookmarkStart w:id="8" w:name="_GoBack"/>
            <w:bookmarkEnd w:id="8"/>
          </w:p>
        </w:tc>
      </w:tr>
    </w:tbl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Pr="00833F3F" w:rsidRDefault="00771F69" w:rsidP="00833F3F">
      <w:pPr>
        <w:pStyle w:val="ConsPlusNormal"/>
        <w:jc w:val="center"/>
        <w:rPr>
          <w:rFonts w:ascii="Times New Roman" w:hAnsi="Times New Roman" w:cs="Times New Roman"/>
        </w:rPr>
      </w:pPr>
      <w:r w:rsidRPr="00771F69">
        <w:rPr>
          <w:rFonts w:ascii="Times New Roman" w:hAnsi="Times New Roman" w:cs="Times New Roman"/>
        </w:rPr>
        <w:t>Пояснительная записка  к справке о стоимости чистых активов</w:t>
      </w:r>
      <w:r w:rsidR="00833F3F" w:rsidRPr="00833F3F">
        <w:rPr>
          <w:rFonts w:ascii="Times New Roman" w:hAnsi="Times New Roman" w:cs="Times New Roman"/>
        </w:rPr>
        <w:t>:</w:t>
      </w:r>
    </w:p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Default="00771F69" w:rsidP="00ED28F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71F69">
        <w:rPr>
          <w:rFonts w:ascii="Times New Roman" w:hAnsi="Times New Roman" w:cs="Times New Roman"/>
        </w:rPr>
        <w:t>Сведения об активах, принятых к расчету собственных средств, которые переданы в доверительное управление: Нет</w:t>
      </w:r>
    </w:p>
    <w:p w:rsidR="00771F69" w:rsidRDefault="00771F69" w:rsidP="00ED28F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71F69">
        <w:rPr>
          <w:rFonts w:ascii="Times New Roman" w:hAnsi="Times New Roman" w:cs="Times New Roman"/>
        </w:rPr>
        <w:t>Сведения об обязательствах по сделкам, заключённым в рамках доверительного управления, принятых к расчету собственных средств: Нет</w:t>
      </w:r>
    </w:p>
    <w:p w:rsidR="00232CCB" w:rsidRDefault="00771F69" w:rsidP="00ED28F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71F69">
        <w:rPr>
          <w:rFonts w:ascii="Times New Roman" w:hAnsi="Times New Roman" w:cs="Times New Roman"/>
        </w:rPr>
        <w:lastRenderedPageBreak/>
        <w:t xml:space="preserve">Сведения о событиях, в результате которых в течение отчетного месяца размер собственных средств изменился более чем на 10%: </w:t>
      </w:r>
      <w:r w:rsidR="00F8342F">
        <w:rPr>
          <w:rFonts w:ascii="Times New Roman" w:hAnsi="Times New Roman" w:cs="Times New Roman"/>
        </w:rPr>
        <w:t>уменьшение размера собственных средств на 87%.</w:t>
      </w:r>
    </w:p>
    <w:p w:rsidR="00771F69" w:rsidRDefault="00771F69" w:rsidP="006B37F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71F69">
        <w:rPr>
          <w:rFonts w:ascii="Times New Roman" w:hAnsi="Times New Roman" w:cs="Times New Roman"/>
        </w:rPr>
        <w:t>Основная доля (87%) денежных средств Общества находится на расчетных счетах и счетах по депозит</w:t>
      </w:r>
      <w:r w:rsidR="00CC42CD">
        <w:rPr>
          <w:rFonts w:ascii="Times New Roman" w:hAnsi="Times New Roman" w:cs="Times New Roman"/>
        </w:rPr>
        <w:t>у</w:t>
      </w:r>
      <w:r w:rsidRPr="00771F69">
        <w:rPr>
          <w:rFonts w:ascii="Times New Roman" w:hAnsi="Times New Roman" w:cs="Times New Roman"/>
        </w:rPr>
        <w:t xml:space="preserve"> в кредитной организации Филиал Петрокоммерц ПАО Банка «ФК Открытие» г. Москва. Согласно Решению Банка России</w:t>
      </w:r>
      <w:r w:rsidR="00423315">
        <w:rPr>
          <w:rFonts w:ascii="Times New Roman" w:hAnsi="Times New Roman" w:cs="Times New Roman"/>
        </w:rPr>
        <w:t xml:space="preserve"> от</w:t>
      </w:r>
      <w:r w:rsidRPr="00771F69">
        <w:rPr>
          <w:rFonts w:ascii="Times New Roman" w:hAnsi="Times New Roman" w:cs="Times New Roman"/>
        </w:rPr>
        <w:t xml:space="preserve"> 14 июля 2017 г., рейтинг данной кредитной организации не соответствует установленному уровню кредитного рейтинга кредитных организаций по данным АО «Эксперт РА» и АКРА (АО). В целях соблюдения Решения Банка России от 14 июля 2017 г. и установленного норматива достаточности собственных средств для управляющих компаний, имеющих одновременно две лицензии (УК ПИФ и</w:t>
      </w:r>
      <w:proofErr w:type="gramStart"/>
      <w:r w:rsidRPr="00771F69">
        <w:rPr>
          <w:rFonts w:ascii="Times New Roman" w:hAnsi="Times New Roman" w:cs="Times New Roman"/>
        </w:rPr>
        <w:t xml:space="preserve"> П</w:t>
      </w:r>
      <w:proofErr w:type="gramEnd"/>
      <w:r w:rsidRPr="00771F69">
        <w:rPr>
          <w:rFonts w:ascii="Times New Roman" w:hAnsi="Times New Roman" w:cs="Times New Roman"/>
        </w:rPr>
        <w:t xml:space="preserve">роф. участник РЦБ), в расчет собственных средств Общества за июль 2017 г. включены только денежные средства на расчетных счетах и счетах по депозиту </w:t>
      </w:r>
      <w:r w:rsidR="001413C5">
        <w:rPr>
          <w:rFonts w:ascii="Times New Roman" w:hAnsi="Times New Roman" w:cs="Times New Roman"/>
        </w:rPr>
        <w:t xml:space="preserve">в </w:t>
      </w:r>
      <w:r w:rsidRPr="00771F69">
        <w:rPr>
          <w:rFonts w:ascii="Times New Roman" w:hAnsi="Times New Roman" w:cs="Times New Roman"/>
        </w:rPr>
        <w:t>Банк</w:t>
      </w:r>
      <w:r w:rsidR="001413C5">
        <w:rPr>
          <w:rFonts w:ascii="Times New Roman" w:hAnsi="Times New Roman" w:cs="Times New Roman"/>
        </w:rPr>
        <w:t>е</w:t>
      </w:r>
      <w:r w:rsidRPr="00771F69">
        <w:rPr>
          <w:rFonts w:ascii="Times New Roman" w:hAnsi="Times New Roman" w:cs="Times New Roman"/>
        </w:rPr>
        <w:t xml:space="preserve"> ВТБ (ПАО) и ПАО Сбербанк.</w:t>
      </w:r>
    </w:p>
    <w:p w:rsidR="00771F69" w:rsidRDefault="00771F69" w:rsidP="00ED28F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71F69">
        <w:rPr>
          <w:rFonts w:ascii="Times New Roman" w:hAnsi="Times New Roman" w:cs="Times New Roman"/>
        </w:rPr>
        <w:t>Иная информация: Нет</w:t>
      </w:r>
    </w:p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Pr="00A86DC1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Pr="00A86DC1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771F69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771F69" w:rsidRPr="00A86DC1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771F69" w:rsidRPr="00A86DC1" w:rsidRDefault="00771F69" w:rsidP="00771F69">
      <w:pPr>
        <w:pStyle w:val="ConsPlusNormal"/>
        <w:jc w:val="both"/>
        <w:rPr>
          <w:rFonts w:ascii="Times New Roman" w:hAnsi="Times New Roman" w:cs="Times New Roman"/>
        </w:rPr>
      </w:pPr>
    </w:p>
    <w:p w:rsidR="001116EB" w:rsidRPr="00771F69" w:rsidRDefault="001116EB" w:rsidP="00771F69"/>
    <w:sectPr w:rsidR="001116EB" w:rsidRPr="00771F69" w:rsidSect="004271EE">
      <w:pgSz w:w="11905" w:h="16838"/>
      <w:pgMar w:top="1134" w:right="284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33A8"/>
    <w:multiLevelType w:val="hybridMultilevel"/>
    <w:tmpl w:val="4CD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33020"/>
    <w:rsid w:val="00046880"/>
    <w:rsid w:val="00055F82"/>
    <w:rsid w:val="00062F8D"/>
    <w:rsid w:val="0006726B"/>
    <w:rsid w:val="0007579A"/>
    <w:rsid w:val="00076933"/>
    <w:rsid w:val="00085894"/>
    <w:rsid w:val="00090239"/>
    <w:rsid w:val="00090576"/>
    <w:rsid w:val="000951DB"/>
    <w:rsid w:val="000A079C"/>
    <w:rsid w:val="000A299E"/>
    <w:rsid w:val="000A7756"/>
    <w:rsid w:val="000A7B47"/>
    <w:rsid w:val="000C3374"/>
    <w:rsid w:val="000C7BB0"/>
    <w:rsid w:val="000D143A"/>
    <w:rsid w:val="000D1FF3"/>
    <w:rsid w:val="000D2056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269C7"/>
    <w:rsid w:val="00131E5F"/>
    <w:rsid w:val="00133C9E"/>
    <w:rsid w:val="00137272"/>
    <w:rsid w:val="001410F6"/>
    <w:rsid w:val="001413C5"/>
    <w:rsid w:val="00152240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1A56"/>
    <w:rsid w:val="001B207E"/>
    <w:rsid w:val="001B4B8D"/>
    <w:rsid w:val="001C0611"/>
    <w:rsid w:val="001C0FC5"/>
    <w:rsid w:val="001C6E48"/>
    <w:rsid w:val="001D6AFF"/>
    <w:rsid w:val="001E32F0"/>
    <w:rsid w:val="001E748A"/>
    <w:rsid w:val="001F0FB2"/>
    <w:rsid w:val="001F688D"/>
    <w:rsid w:val="001F6BD7"/>
    <w:rsid w:val="001F78F0"/>
    <w:rsid w:val="00203335"/>
    <w:rsid w:val="00203424"/>
    <w:rsid w:val="00204B4E"/>
    <w:rsid w:val="00205ACC"/>
    <w:rsid w:val="002162A3"/>
    <w:rsid w:val="00221105"/>
    <w:rsid w:val="00232CCB"/>
    <w:rsid w:val="00233C46"/>
    <w:rsid w:val="00234B01"/>
    <w:rsid w:val="00237FF2"/>
    <w:rsid w:val="00241441"/>
    <w:rsid w:val="00241C4C"/>
    <w:rsid w:val="00245347"/>
    <w:rsid w:val="00255A9C"/>
    <w:rsid w:val="00255BCB"/>
    <w:rsid w:val="00255E50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2240"/>
    <w:rsid w:val="002D753D"/>
    <w:rsid w:val="002E09EE"/>
    <w:rsid w:val="002E7C3C"/>
    <w:rsid w:val="003000F1"/>
    <w:rsid w:val="00300701"/>
    <w:rsid w:val="00303660"/>
    <w:rsid w:val="003064E2"/>
    <w:rsid w:val="0031058F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517"/>
    <w:rsid w:val="00366BB8"/>
    <w:rsid w:val="00367FCA"/>
    <w:rsid w:val="003741AB"/>
    <w:rsid w:val="00390752"/>
    <w:rsid w:val="00390D97"/>
    <w:rsid w:val="00393005"/>
    <w:rsid w:val="00393D60"/>
    <w:rsid w:val="00395B35"/>
    <w:rsid w:val="003A23ED"/>
    <w:rsid w:val="003A2EAA"/>
    <w:rsid w:val="003A712E"/>
    <w:rsid w:val="003B1173"/>
    <w:rsid w:val="003B132C"/>
    <w:rsid w:val="003B182E"/>
    <w:rsid w:val="003B4068"/>
    <w:rsid w:val="003B41F7"/>
    <w:rsid w:val="003C35B4"/>
    <w:rsid w:val="003E2A0B"/>
    <w:rsid w:val="003E3895"/>
    <w:rsid w:val="003E3C9C"/>
    <w:rsid w:val="003E46E7"/>
    <w:rsid w:val="003E53C1"/>
    <w:rsid w:val="003F0F9F"/>
    <w:rsid w:val="003F38E5"/>
    <w:rsid w:val="003F3971"/>
    <w:rsid w:val="003F6579"/>
    <w:rsid w:val="003F707F"/>
    <w:rsid w:val="003F70E9"/>
    <w:rsid w:val="00403015"/>
    <w:rsid w:val="004065E4"/>
    <w:rsid w:val="00416C17"/>
    <w:rsid w:val="00420EA4"/>
    <w:rsid w:val="00421DFD"/>
    <w:rsid w:val="00423315"/>
    <w:rsid w:val="004269EE"/>
    <w:rsid w:val="004271EE"/>
    <w:rsid w:val="00430C27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C73A4"/>
    <w:rsid w:val="004D33EF"/>
    <w:rsid w:val="004D4969"/>
    <w:rsid w:val="004E1779"/>
    <w:rsid w:val="004E2409"/>
    <w:rsid w:val="004F04A3"/>
    <w:rsid w:val="004F3B30"/>
    <w:rsid w:val="004F463D"/>
    <w:rsid w:val="004F59D6"/>
    <w:rsid w:val="005006DC"/>
    <w:rsid w:val="0050748C"/>
    <w:rsid w:val="00532964"/>
    <w:rsid w:val="00542975"/>
    <w:rsid w:val="00543A45"/>
    <w:rsid w:val="00546136"/>
    <w:rsid w:val="005507AF"/>
    <w:rsid w:val="00556147"/>
    <w:rsid w:val="00566BC9"/>
    <w:rsid w:val="0057478E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04642"/>
    <w:rsid w:val="006104B7"/>
    <w:rsid w:val="00615A93"/>
    <w:rsid w:val="00625F6D"/>
    <w:rsid w:val="006352B6"/>
    <w:rsid w:val="00636B7D"/>
    <w:rsid w:val="00642A96"/>
    <w:rsid w:val="00644389"/>
    <w:rsid w:val="0065135B"/>
    <w:rsid w:val="00661D1E"/>
    <w:rsid w:val="006667E2"/>
    <w:rsid w:val="00667038"/>
    <w:rsid w:val="00671D6B"/>
    <w:rsid w:val="00681A95"/>
    <w:rsid w:val="00681E48"/>
    <w:rsid w:val="006844E6"/>
    <w:rsid w:val="00692E7E"/>
    <w:rsid w:val="0069460D"/>
    <w:rsid w:val="006A1AB3"/>
    <w:rsid w:val="006A4316"/>
    <w:rsid w:val="006A5562"/>
    <w:rsid w:val="006A70EF"/>
    <w:rsid w:val="006B211D"/>
    <w:rsid w:val="006B2C4B"/>
    <w:rsid w:val="006B2DE0"/>
    <w:rsid w:val="006B37F2"/>
    <w:rsid w:val="006B5CA8"/>
    <w:rsid w:val="006C074C"/>
    <w:rsid w:val="006C469B"/>
    <w:rsid w:val="006D211E"/>
    <w:rsid w:val="006D708A"/>
    <w:rsid w:val="006E35AF"/>
    <w:rsid w:val="006F7093"/>
    <w:rsid w:val="00704CB3"/>
    <w:rsid w:val="0071562E"/>
    <w:rsid w:val="00725B40"/>
    <w:rsid w:val="00732E73"/>
    <w:rsid w:val="007349A5"/>
    <w:rsid w:val="00734BDA"/>
    <w:rsid w:val="00742AE3"/>
    <w:rsid w:val="00746667"/>
    <w:rsid w:val="00746C37"/>
    <w:rsid w:val="0075269C"/>
    <w:rsid w:val="00753AA7"/>
    <w:rsid w:val="007647B5"/>
    <w:rsid w:val="00771F69"/>
    <w:rsid w:val="007738E6"/>
    <w:rsid w:val="00775E55"/>
    <w:rsid w:val="007842B4"/>
    <w:rsid w:val="00797811"/>
    <w:rsid w:val="007A5250"/>
    <w:rsid w:val="007A72DC"/>
    <w:rsid w:val="007C4497"/>
    <w:rsid w:val="007D16D6"/>
    <w:rsid w:val="007D2DA6"/>
    <w:rsid w:val="007D4AD1"/>
    <w:rsid w:val="007E2448"/>
    <w:rsid w:val="007E6D80"/>
    <w:rsid w:val="00803719"/>
    <w:rsid w:val="00812A09"/>
    <w:rsid w:val="0081598B"/>
    <w:rsid w:val="00825E9C"/>
    <w:rsid w:val="0082619F"/>
    <w:rsid w:val="00826362"/>
    <w:rsid w:val="00833888"/>
    <w:rsid w:val="00833F3F"/>
    <w:rsid w:val="0083424A"/>
    <w:rsid w:val="00836339"/>
    <w:rsid w:val="00836D05"/>
    <w:rsid w:val="00837650"/>
    <w:rsid w:val="00845DDD"/>
    <w:rsid w:val="00847F12"/>
    <w:rsid w:val="00847F46"/>
    <w:rsid w:val="00855662"/>
    <w:rsid w:val="00861E9B"/>
    <w:rsid w:val="008658E1"/>
    <w:rsid w:val="0086654F"/>
    <w:rsid w:val="008671C7"/>
    <w:rsid w:val="008676AB"/>
    <w:rsid w:val="00870516"/>
    <w:rsid w:val="008731FB"/>
    <w:rsid w:val="00877A61"/>
    <w:rsid w:val="00877C45"/>
    <w:rsid w:val="0088120E"/>
    <w:rsid w:val="00881445"/>
    <w:rsid w:val="008844FB"/>
    <w:rsid w:val="008847FA"/>
    <w:rsid w:val="00891CD3"/>
    <w:rsid w:val="008A18E5"/>
    <w:rsid w:val="008A1A4C"/>
    <w:rsid w:val="008A7193"/>
    <w:rsid w:val="008B1ABE"/>
    <w:rsid w:val="008B5A4B"/>
    <w:rsid w:val="008C7EB8"/>
    <w:rsid w:val="008D0B7A"/>
    <w:rsid w:val="008D3706"/>
    <w:rsid w:val="008D6B57"/>
    <w:rsid w:val="008E06D4"/>
    <w:rsid w:val="008E37C8"/>
    <w:rsid w:val="008E3FBA"/>
    <w:rsid w:val="008F2E05"/>
    <w:rsid w:val="008F5A68"/>
    <w:rsid w:val="008F6CA4"/>
    <w:rsid w:val="00900505"/>
    <w:rsid w:val="009042F9"/>
    <w:rsid w:val="00906F35"/>
    <w:rsid w:val="0093348F"/>
    <w:rsid w:val="0093373C"/>
    <w:rsid w:val="00935727"/>
    <w:rsid w:val="00946AE1"/>
    <w:rsid w:val="0094747C"/>
    <w:rsid w:val="00956589"/>
    <w:rsid w:val="009718B0"/>
    <w:rsid w:val="0097220E"/>
    <w:rsid w:val="00976F87"/>
    <w:rsid w:val="00982D5C"/>
    <w:rsid w:val="00991395"/>
    <w:rsid w:val="009A2835"/>
    <w:rsid w:val="009B092B"/>
    <w:rsid w:val="009E07E5"/>
    <w:rsid w:val="009E571B"/>
    <w:rsid w:val="009E5D2D"/>
    <w:rsid w:val="009F1273"/>
    <w:rsid w:val="009F20BF"/>
    <w:rsid w:val="009F4223"/>
    <w:rsid w:val="009F44E9"/>
    <w:rsid w:val="009F7307"/>
    <w:rsid w:val="00A10ABE"/>
    <w:rsid w:val="00A13AA8"/>
    <w:rsid w:val="00A151D1"/>
    <w:rsid w:val="00A15487"/>
    <w:rsid w:val="00A30DAF"/>
    <w:rsid w:val="00A37970"/>
    <w:rsid w:val="00A47DA0"/>
    <w:rsid w:val="00A56EAD"/>
    <w:rsid w:val="00A62E11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29F4"/>
    <w:rsid w:val="00AB34B3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31B8"/>
    <w:rsid w:val="00B6459D"/>
    <w:rsid w:val="00B66269"/>
    <w:rsid w:val="00B8423D"/>
    <w:rsid w:val="00B866B3"/>
    <w:rsid w:val="00B86E2C"/>
    <w:rsid w:val="00B87942"/>
    <w:rsid w:val="00B94207"/>
    <w:rsid w:val="00B94A13"/>
    <w:rsid w:val="00B95183"/>
    <w:rsid w:val="00B96CCA"/>
    <w:rsid w:val="00BB6D39"/>
    <w:rsid w:val="00BC5138"/>
    <w:rsid w:val="00BC6D74"/>
    <w:rsid w:val="00BD2B7F"/>
    <w:rsid w:val="00BE0425"/>
    <w:rsid w:val="00BE1FA7"/>
    <w:rsid w:val="00BE459B"/>
    <w:rsid w:val="00BE63D7"/>
    <w:rsid w:val="00BE782C"/>
    <w:rsid w:val="00BE7B89"/>
    <w:rsid w:val="00BF2F05"/>
    <w:rsid w:val="00C018B7"/>
    <w:rsid w:val="00C04269"/>
    <w:rsid w:val="00C10055"/>
    <w:rsid w:val="00C1646C"/>
    <w:rsid w:val="00C1698F"/>
    <w:rsid w:val="00C33585"/>
    <w:rsid w:val="00C34A2F"/>
    <w:rsid w:val="00C42A95"/>
    <w:rsid w:val="00C450F9"/>
    <w:rsid w:val="00C46CD0"/>
    <w:rsid w:val="00C510DC"/>
    <w:rsid w:val="00C51F9E"/>
    <w:rsid w:val="00C6209F"/>
    <w:rsid w:val="00C66535"/>
    <w:rsid w:val="00C77B31"/>
    <w:rsid w:val="00C80074"/>
    <w:rsid w:val="00C83805"/>
    <w:rsid w:val="00C90DA8"/>
    <w:rsid w:val="00C9361A"/>
    <w:rsid w:val="00C936FE"/>
    <w:rsid w:val="00C96616"/>
    <w:rsid w:val="00C97734"/>
    <w:rsid w:val="00CA4CC5"/>
    <w:rsid w:val="00CA50D5"/>
    <w:rsid w:val="00CB338B"/>
    <w:rsid w:val="00CC2C2D"/>
    <w:rsid w:val="00CC42CD"/>
    <w:rsid w:val="00CC702C"/>
    <w:rsid w:val="00CD1EE3"/>
    <w:rsid w:val="00CE1041"/>
    <w:rsid w:val="00CE5CF2"/>
    <w:rsid w:val="00CF0B4E"/>
    <w:rsid w:val="00CF25E4"/>
    <w:rsid w:val="00D01140"/>
    <w:rsid w:val="00D02CA0"/>
    <w:rsid w:val="00D13499"/>
    <w:rsid w:val="00D14274"/>
    <w:rsid w:val="00D2099C"/>
    <w:rsid w:val="00D21E83"/>
    <w:rsid w:val="00D22329"/>
    <w:rsid w:val="00D2282D"/>
    <w:rsid w:val="00D24F0F"/>
    <w:rsid w:val="00D30766"/>
    <w:rsid w:val="00D31B25"/>
    <w:rsid w:val="00D33827"/>
    <w:rsid w:val="00D51DDB"/>
    <w:rsid w:val="00D603B4"/>
    <w:rsid w:val="00D66194"/>
    <w:rsid w:val="00D712FA"/>
    <w:rsid w:val="00D80645"/>
    <w:rsid w:val="00D947DE"/>
    <w:rsid w:val="00D95F43"/>
    <w:rsid w:val="00D97221"/>
    <w:rsid w:val="00D975E1"/>
    <w:rsid w:val="00DA1086"/>
    <w:rsid w:val="00DA1CC6"/>
    <w:rsid w:val="00DA2CDB"/>
    <w:rsid w:val="00DA52F8"/>
    <w:rsid w:val="00DA6536"/>
    <w:rsid w:val="00DB03C0"/>
    <w:rsid w:val="00DB1439"/>
    <w:rsid w:val="00DB3A24"/>
    <w:rsid w:val="00DB3FCF"/>
    <w:rsid w:val="00DB5CA8"/>
    <w:rsid w:val="00DD02D0"/>
    <w:rsid w:val="00DD30E6"/>
    <w:rsid w:val="00DD75E7"/>
    <w:rsid w:val="00DE5B41"/>
    <w:rsid w:val="00DE60F2"/>
    <w:rsid w:val="00DE7B7E"/>
    <w:rsid w:val="00DF1184"/>
    <w:rsid w:val="00DF279C"/>
    <w:rsid w:val="00E003E8"/>
    <w:rsid w:val="00E01781"/>
    <w:rsid w:val="00E01B81"/>
    <w:rsid w:val="00E0630F"/>
    <w:rsid w:val="00E12CCB"/>
    <w:rsid w:val="00E16E09"/>
    <w:rsid w:val="00E23BC9"/>
    <w:rsid w:val="00E23F0A"/>
    <w:rsid w:val="00E329B7"/>
    <w:rsid w:val="00E50775"/>
    <w:rsid w:val="00E51137"/>
    <w:rsid w:val="00E600D7"/>
    <w:rsid w:val="00E71BE3"/>
    <w:rsid w:val="00E748BA"/>
    <w:rsid w:val="00EA3EA5"/>
    <w:rsid w:val="00EA56CA"/>
    <w:rsid w:val="00EB2727"/>
    <w:rsid w:val="00EC1ECC"/>
    <w:rsid w:val="00EC4140"/>
    <w:rsid w:val="00ED1C8A"/>
    <w:rsid w:val="00ED28FE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06B2"/>
    <w:rsid w:val="00F72528"/>
    <w:rsid w:val="00F73931"/>
    <w:rsid w:val="00F76488"/>
    <w:rsid w:val="00F76F9C"/>
    <w:rsid w:val="00F82465"/>
    <w:rsid w:val="00F8342F"/>
    <w:rsid w:val="00F838EF"/>
    <w:rsid w:val="00F86CE3"/>
    <w:rsid w:val="00F96CD2"/>
    <w:rsid w:val="00F97EBA"/>
    <w:rsid w:val="00FA2F7D"/>
    <w:rsid w:val="00FD1D49"/>
    <w:rsid w:val="00FD2A2D"/>
    <w:rsid w:val="00FE0F70"/>
    <w:rsid w:val="00FE4D39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C6EAFA8630DC37CBC9D8FC03E3B4EB64476EA0E7B0D988F27C8409CEO6V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2A69-6198-4A58-B875-5237F796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Елена В. Мирошниченко</cp:lastModifiedBy>
  <cp:revision>21</cp:revision>
  <cp:lastPrinted>2017-04-25T11:16:00Z</cp:lastPrinted>
  <dcterms:created xsi:type="dcterms:W3CDTF">2017-07-13T16:07:00Z</dcterms:created>
  <dcterms:modified xsi:type="dcterms:W3CDTF">2017-08-16T09:08:00Z</dcterms:modified>
</cp:coreProperties>
</file>